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ED55D" w14:textId="77777777" w:rsidR="001C6046" w:rsidRPr="001C6046" w:rsidRDefault="001C6046" w:rsidP="00136B09">
      <w:pPr>
        <w:jc w:val="center"/>
        <w:rPr>
          <w:sz w:val="24"/>
        </w:rPr>
      </w:pPr>
      <w:r w:rsidRPr="001C6046">
        <w:rPr>
          <w:b/>
          <w:sz w:val="32"/>
          <w:u w:val="single"/>
        </w:rPr>
        <w:t>Indian River County Community Development District Guidelines</w:t>
      </w:r>
    </w:p>
    <w:p w14:paraId="52AC327E" w14:textId="77777777" w:rsidR="007F7364" w:rsidRDefault="00940F59" w:rsidP="001C6046">
      <w:pPr>
        <w:ind w:firstLine="360"/>
        <w:jc w:val="both"/>
        <w:rPr>
          <w:sz w:val="24"/>
        </w:rPr>
      </w:pPr>
      <w:r w:rsidRPr="001C6046">
        <w:rPr>
          <w:sz w:val="24"/>
        </w:rPr>
        <w:t xml:space="preserve">Pursuant to section 190.005, Florida Statutes, the establishment of a community development district less than 2,500 acres in size in the unincorporated areas of Indian River County is a decision to be made by the Indian River County Board of County Commissioners (the “Board”) at a public hearing.  In addition to satisfying all of the statutory requirements set forth in section 190.005, Florida Statutes, the Board has established the following guidelines </w:t>
      </w:r>
      <w:r w:rsidR="0015250B">
        <w:rPr>
          <w:sz w:val="24"/>
        </w:rPr>
        <w:t xml:space="preserve">as a minimum threshold </w:t>
      </w:r>
      <w:r w:rsidRPr="001C6046">
        <w:rPr>
          <w:sz w:val="24"/>
        </w:rPr>
        <w:t>for applicants</w:t>
      </w:r>
      <w:r w:rsidR="0015250B">
        <w:rPr>
          <w:sz w:val="24"/>
        </w:rPr>
        <w:t xml:space="preserve"> seeking to file a </w:t>
      </w:r>
      <w:r w:rsidRPr="001C6046">
        <w:rPr>
          <w:sz w:val="24"/>
        </w:rPr>
        <w:t>petition to establish a community development district.</w:t>
      </w:r>
      <w:r w:rsidR="00900A37">
        <w:rPr>
          <w:sz w:val="24"/>
        </w:rPr>
        <w:t xml:space="preserve">  </w:t>
      </w:r>
      <w:r w:rsidRPr="001C6046">
        <w:rPr>
          <w:sz w:val="24"/>
        </w:rPr>
        <w:t xml:space="preserve">  </w:t>
      </w:r>
    </w:p>
    <w:p w14:paraId="19BC9396" w14:textId="438B86D3" w:rsidR="009A1E43" w:rsidRPr="00C97A0D" w:rsidRDefault="0015250B" w:rsidP="009A1E4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5250B">
        <w:rPr>
          <w:sz w:val="24"/>
          <w:szCs w:val="24"/>
        </w:rPr>
        <w:t>The real estate project must be</w:t>
      </w:r>
      <w:r w:rsidR="0066509D">
        <w:rPr>
          <w:sz w:val="24"/>
          <w:szCs w:val="24"/>
        </w:rPr>
        <w:t xml:space="preserve"> </w:t>
      </w:r>
      <w:r w:rsidRPr="0015250B">
        <w:rPr>
          <w:sz w:val="24"/>
          <w:szCs w:val="24"/>
        </w:rPr>
        <w:t xml:space="preserve">500 acres </w:t>
      </w:r>
      <w:r w:rsidR="00244E7E">
        <w:rPr>
          <w:sz w:val="24"/>
          <w:szCs w:val="24"/>
        </w:rPr>
        <w:t>or</w:t>
      </w:r>
      <w:r w:rsidRPr="0015250B">
        <w:rPr>
          <w:sz w:val="24"/>
          <w:szCs w:val="24"/>
        </w:rPr>
        <w:t xml:space="preserve"> more in size</w:t>
      </w:r>
      <w:r>
        <w:rPr>
          <w:sz w:val="24"/>
          <w:szCs w:val="24"/>
        </w:rPr>
        <w:t>.</w:t>
      </w:r>
    </w:p>
    <w:p w14:paraId="02BB9306" w14:textId="1ED22782" w:rsidR="0015250B" w:rsidRPr="00D52CC8" w:rsidRDefault="009B3CC4" w:rsidP="00D52CC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30E05">
        <w:rPr>
          <w:sz w:val="24"/>
          <w:szCs w:val="24"/>
        </w:rPr>
        <w:t>r</w:t>
      </w:r>
      <w:r w:rsidR="0015250B" w:rsidRPr="0015250B">
        <w:rPr>
          <w:sz w:val="24"/>
          <w:szCs w:val="24"/>
        </w:rPr>
        <w:t xml:space="preserve">eal estate project must provide </w:t>
      </w:r>
      <w:r w:rsidR="00D52CC8">
        <w:rPr>
          <w:sz w:val="24"/>
          <w:szCs w:val="24"/>
        </w:rPr>
        <w:t xml:space="preserve">a </w:t>
      </w:r>
      <w:r w:rsidR="0015250B" w:rsidRPr="00D52CC8">
        <w:rPr>
          <w:sz w:val="24"/>
          <w:szCs w:val="24"/>
        </w:rPr>
        <w:t xml:space="preserve">street network which meets </w:t>
      </w:r>
      <w:r w:rsidR="00DA4CA1" w:rsidRPr="00D52CC8">
        <w:rPr>
          <w:sz w:val="24"/>
          <w:szCs w:val="24"/>
        </w:rPr>
        <w:t xml:space="preserve">the following </w:t>
      </w:r>
      <w:r w:rsidR="0015250B" w:rsidRPr="00D52CC8">
        <w:rPr>
          <w:sz w:val="24"/>
          <w:szCs w:val="24"/>
        </w:rPr>
        <w:t>minimum standards:</w:t>
      </w:r>
    </w:p>
    <w:p w14:paraId="355E9DA4" w14:textId="09D259A6" w:rsidR="00540D3F" w:rsidRDefault="00540D3F">
      <w:pPr>
        <w:pStyle w:val="ListParagraph"/>
        <w:ind w:left="360"/>
        <w:jc w:val="both"/>
        <w:rPr>
          <w:sz w:val="24"/>
          <w:szCs w:val="24"/>
        </w:rPr>
      </w:pPr>
    </w:p>
    <w:p w14:paraId="0CCFE011" w14:textId="0835981A" w:rsidR="00E33078" w:rsidRDefault="00540D3F" w:rsidP="00C97A0D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52CC8">
        <w:rPr>
          <w:sz w:val="24"/>
          <w:szCs w:val="24"/>
        </w:rPr>
        <w:t>A</w:t>
      </w:r>
      <w:r w:rsidR="00F62B7D"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Be </w:t>
      </w:r>
      <w:r w:rsidR="00AD5F43">
        <w:rPr>
          <w:sz w:val="24"/>
          <w:szCs w:val="24"/>
        </w:rPr>
        <w:t>consistent</w:t>
      </w:r>
      <w:r>
        <w:rPr>
          <w:sz w:val="24"/>
          <w:szCs w:val="24"/>
        </w:rPr>
        <w:t xml:space="preserve"> with the existing Traditional Neighborhood Development (TND)</w:t>
      </w:r>
    </w:p>
    <w:p w14:paraId="65C5EA34" w14:textId="508EAEAC" w:rsidR="00540D3F" w:rsidRPr="00C97A0D" w:rsidRDefault="00540D3F" w:rsidP="00E33078">
      <w:pPr>
        <w:pStyle w:val="ListParagraph"/>
        <w:ind w:left="1080" w:firstLine="360"/>
        <w:jc w:val="both"/>
        <w:rPr>
          <w:sz w:val="24"/>
          <w:szCs w:val="24"/>
        </w:rPr>
      </w:pPr>
      <w:r>
        <w:rPr>
          <w:sz w:val="24"/>
          <w:szCs w:val="24"/>
        </w:rPr>
        <w:t>standards per section 915.21; or</w:t>
      </w:r>
    </w:p>
    <w:p w14:paraId="7103F603" w14:textId="5355B0EC" w:rsidR="0015250B" w:rsidRPr="004932B9" w:rsidRDefault="00D52CC8" w:rsidP="00E33078">
      <w:pPr>
        <w:ind w:left="1440" w:hanging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B</w:t>
      </w:r>
      <w:r w:rsidR="00540D3F">
        <w:rPr>
          <w:rFonts w:eastAsia="Times New Roman"/>
          <w:sz w:val="24"/>
          <w:szCs w:val="24"/>
        </w:rPr>
        <w:t>.</w:t>
      </w:r>
      <w:r w:rsidR="00540D3F">
        <w:rPr>
          <w:rFonts w:eastAsia="Times New Roman"/>
          <w:sz w:val="24"/>
          <w:szCs w:val="24"/>
        </w:rPr>
        <w:tab/>
      </w:r>
      <w:r w:rsidR="0015250B" w:rsidRPr="004932B9">
        <w:rPr>
          <w:rFonts w:eastAsia="Times New Roman"/>
          <w:sz w:val="24"/>
          <w:szCs w:val="24"/>
        </w:rPr>
        <w:t xml:space="preserve">Be designed in a traditional or modified grid-pattern where cul-de-sacs, loop roads, and dead-end streets are discouraged, and connectivity exists with neighboring developments. </w:t>
      </w:r>
      <w:r w:rsidR="00540D3F">
        <w:rPr>
          <w:rFonts w:eastAsia="Times New Roman"/>
          <w:sz w:val="24"/>
          <w:szCs w:val="24"/>
        </w:rPr>
        <w:t xml:space="preserve">Road </w:t>
      </w:r>
      <w:r w:rsidR="0015250B" w:rsidRPr="004932B9">
        <w:rPr>
          <w:rFonts w:eastAsia="Times New Roman"/>
          <w:sz w:val="24"/>
          <w:szCs w:val="24"/>
        </w:rPr>
        <w:t>intersections</w:t>
      </w:r>
      <w:r w:rsidR="00540D3F">
        <w:rPr>
          <w:rFonts w:eastAsia="Times New Roman"/>
          <w:sz w:val="24"/>
          <w:szCs w:val="24"/>
        </w:rPr>
        <w:t xml:space="preserve"> are encouraged to</w:t>
      </w:r>
      <w:r w:rsidR="0015250B" w:rsidRPr="004932B9">
        <w:rPr>
          <w:rFonts w:eastAsia="Times New Roman"/>
          <w:sz w:val="24"/>
          <w:szCs w:val="24"/>
        </w:rPr>
        <w:t xml:space="preserve"> have 4-way directionality</w:t>
      </w:r>
      <w:r w:rsidR="00201981">
        <w:rPr>
          <w:rFonts w:eastAsia="Times New Roman"/>
          <w:sz w:val="24"/>
          <w:szCs w:val="24"/>
        </w:rPr>
        <w:t>; and</w:t>
      </w:r>
      <w:r w:rsidR="00201981" w:rsidRPr="004932B9">
        <w:rPr>
          <w:rFonts w:eastAsia="Times New Roman"/>
          <w:sz w:val="24"/>
          <w:szCs w:val="24"/>
        </w:rPr>
        <w:t xml:space="preserve"> </w:t>
      </w:r>
    </w:p>
    <w:p w14:paraId="4001D112" w14:textId="24C8C6EC" w:rsidR="0015250B" w:rsidRPr="004932B9" w:rsidRDefault="00D52CC8" w:rsidP="00E33078">
      <w:pPr>
        <w:ind w:left="1440" w:hanging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C</w:t>
      </w:r>
      <w:r w:rsidR="00540D3F">
        <w:rPr>
          <w:rFonts w:eastAsia="Times New Roman"/>
          <w:sz w:val="24"/>
          <w:szCs w:val="24"/>
        </w:rPr>
        <w:t>.</w:t>
      </w:r>
      <w:r w:rsidR="00540D3F">
        <w:rPr>
          <w:rFonts w:eastAsia="Times New Roman"/>
          <w:sz w:val="24"/>
          <w:szCs w:val="24"/>
        </w:rPr>
        <w:tab/>
        <w:t>No</w:t>
      </w:r>
      <w:r w:rsidR="004932B9">
        <w:rPr>
          <w:rFonts w:eastAsia="Times New Roman"/>
          <w:sz w:val="24"/>
          <w:szCs w:val="24"/>
        </w:rPr>
        <w:t xml:space="preserve"> </w:t>
      </w:r>
      <w:r w:rsidR="0015250B" w:rsidRPr="004932B9">
        <w:rPr>
          <w:rFonts w:eastAsia="Times New Roman"/>
          <w:sz w:val="24"/>
          <w:szCs w:val="24"/>
        </w:rPr>
        <w:t xml:space="preserve">more than ten (10) percent of blocks shall </w:t>
      </w:r>
      <w:r w:rsidR="00540D3F">
        <w:rPr>
          <w:rFonts w:eastAsia="Times New Roman"/>
          <w:sz w:val="24"/>
          <w:szCs w:val="24"/>
        </w:rPr>
        <w:t>have</w:t>
      </w:r>
      <w:r w:rsidR="0015250B" w:rsidRPr="004932B9">
        <w:rPr>
          <w:rFonts w:eastAsia="Times New Roman"/>
          <w:sz w:val="24"/>
          <w:szCs w:val="24"/>
        </w:rPr>
        <w:t xml:space="preserve"> a block with </w:t>
      </w:r>
      <w:r w:rsidR="00540D3F">
        <w:rPr>
          <w:rFonts w:eastAsia="Times New Roman"/>
          <w:sz w:val="24"/>
          <w:szCs w:val="24"/>
        </w:rPr>
        <w:t xml:space="preserve">perimeter measuring one thousand eight hundred (1800) feet or more. Within commercial and </w:t>
      </w:r>
      <w:proofErr w:type="gramStart"/>
      <w:r w:rsidR="00540D3F">
        <w:rPr>
          <w:rFonts w:eastAsia="Times New Roman"/>
          <w:sz w:val="24"/>
          <w:szCs w:val="24"/>
        </w:rPr>
        <w:t>mixed</w:t>
      </w:r>
      <w:r w:rsidR="008A6310">
        <w:rPr>
          <w:rFonts w:eastAsia="Times New Roman"/>
          <w:sz w:val="24"/>
          <w:szCs w:val="24"/>
        </w:rPr>
        <w:t xml:space="preserve"> </w:t>
      </w:r>
      <w:r w:rsidR="00540D3F">
        <w:rPr>
          <w:rFonts w:eastAsia="Times New Roman"/>
          <w:sz w:val="24"/>
          <w:szCs w:val="24"/>
        </w:rPr>
        <w:t>use</w:t>
      </w:r>
      <w:proofErr w:type="gramEnd"/>
      <w:r w:rsidR="00540D3F">
        <w:rPr>
          <w:rFonts w:eastAsia="Times New Roman"/>
          <w:sz w:val="24"/>
          <w:szCs w:val="24"/>
        </w:rPr>
        <w:t xml:space="preserve"> areas, no block face dimension shall exceed four hundred (400) </w:t>
      </w:r>
      <w:r w:rsidR="00864F8C">
        <w:rPr>
          <w:rFonts w:eastAsia="Times New Roman"/>
          <w:sz w:val="24"/>
          <w:szCs w:val="24"/>
        </w:rPr>
        <w:t>feet. Blocks may be defined (divided) by streets and major pedestrian paths</w:t>
      </w:r>
      <w:r w:rsidR="00201981">
        <w:rPr>
          <w:rFonts w:eastAsia="Times New Roman"/>
          <w:sz w:val="24"/>
          <w:szCs w:val="24"/>
        </w:rPr>
        <w:t>; and</w:t>
      </w:r>
      <w:r w:rsidR="00864F8C">
        <w:rPr>
          <w:rFonts w:eastAsia="Times New Roman"/>
          <w:sz w:val="24"/>
          <w:szCs w:val="24"/>
        </w:rPr>
        <w:t xml:space="preserve"> </w:t>
      </w:r>
    </w:p>
    <w:p w14:paraId="20BE7363" w14:textId="75E7F502" w:rsidR="0015250B" w:rsidRPr="004932B9" w:rsidRDefault="00D52CC8" w:rsidP="00E33078">
      <w:pPr>
        <w:ind w:left="1440" w:hanging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D</w:t>
      </w:r>
      <w:r w:rsidR="009A1E43">
        <w:rPr>
          <w:rFonts w:eastAsia="Times New Roman"/>
          <w:sz w:val="24"/>
          <w:szCs w:val="24"/>
        </w:rPr>
        <w:t>.</w:t>
      </w:r>
      <w:r w:rsidR="009A1E43">
        <w:rPr>
          <w:rFonts w:eastAsia="Times New Roman"/>
          <w:sz w:val="24"/>
          <w:szCs w:val="24"/>
        </w:rPr>
        <w:tab/>
      </w:r>
      <w:r w:rsidR="0015250B" w:rsidRPr="004932B9">
        <w:rPr>
          <w:rFonts w:eastAsia="Times New Roman"/>
          <w:sz w:val="24"/>
          <w:szCs w:val="24"/>
        </w:rPr>
        <w:t>Have at least one, connected, non-motorized facility, such as buffered bike lanes (7 feet minimum width), or shared-use path (12 ft minimum width), that connects a centralized feature, such as a park or commercial node, to a neighboring development.</w:t>
      </w:r>
      <w:r w:rsidR="00145BA7" w:rsidRPr="004932B9">
        <w:rPr>
          <w:rFonts w:eastAsia="Times New Roman"/>
          <w:sz w:val="24"/>
          <w:szCs w:val="24"/>
        </w:rPr>
        <w:t xml:space="preserve"> </w:t>
      </w:r>
    </w:p>
    <w:p w14:paraId="356322B4" w14:textId="582C345D" w:rsidR="00F62B7D" w:rsidRDefault="00D52CC8" w:rsidP="00D52CC8">
      <w:pPr>
        <w:pStyle w:val="ListParagraph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="0015250B">
        <w:rPr>
          <w:sz w:val="24"/>
          <w:szCs w:val="24"/>
        </w:rPr>
        <w:t>O</w:t>
      </w:r>
      <w:r w:rsidR="007F7364" w:rsidRPr="0015250B">
        <w:rPr>
          <w:sz w:val="24"/>
          <w:szCs w:val="24"/>
        </w:rPr>
        <w:t>pen space within the real estate project</w:t>
      </w:r>
      <w:r w:rsidR="0015250B">
        <w:rPr>
          <w:sz w:val="24"/>
          <w:szCs w:val="24"/>
        </w:rPr>
        <w:t xml:space="preserve"> must be at least 10% greater than</w:t>
      </w:r>
      <w:r w:rsidR="00916E84">
        <w:rPr>
          <w:sz w:val="24"/>
          <w:szCs w:val="24"/>
        </w:rPr>
        <w:t xml:space="preserve"> what is</w:t>
      </w:r>
      <w:r w:rsidR="0015250B">
        <w:rPr>
          <w:sz w:val="24"/>
          <w:szCs w:val="24"/>
        </w:rPr>
        <w:t xml:space="preserve"> required</w:t>
      </w:r>
      <w:r w:rsidR="00916E84">
        <w:rPr>
          <w:sz w:val="24"/>
          <w:szCs w:val="24"/>
        </w:rPr>
        <w:t xml:space="preserve"> per the County’s Land Development Regulations</w:t>
      </w:r>
      <w:r w:rsidR="0015250B">
        <w:rPr>
          <w:sz w:val="24"/>
          <w:szCs w:val="24"/>
        </w:rPr>
        <w:t>.</w:t>
      </w:r>
    </w:p>
    <w:p w14:paraId="455D5A42" w14:textId="27C7C1D0" w:rsidR="007F7364" w:rsidRPr="0015250B" w:rsidRDefault="0015250B" w:rsidP="004932B9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95C5FC8" w14:textId="09C830C2" w:rsidR="007F7364" w:rsidRDefault="00D52CC8" w:rsidP="00D52CC8">
      <w:pPr>
        <w:pStyle w:val="ListParagraph"/>
        <w:ind w:hanging="360"/>
        <w:jc w:val="both"/>
        <w:rPr>
          <w:sz w:val="24"/>
        </w:rPr>
      </w:pPr>
      <w:r>
        <w:rPr>
          <w:sz w:val="24"/>
        </w:rPr>
        <w:t>4)</w:t>
      </w:r>
      <w:r>
        <w:rPr>
          <w:sz w:val="24"/>
        </w:rPr>
        <w:tab/>
      </w:r>
      <w:r w:rsidR="007F7364" w:rsidRPr="001C6046">
        <w:rPr>
          <w:sz w:val="24"/>
        </w:rPr>
        <w:t>Provision of a significant public benefit</w:t>
      </w:r>
      <w:r w:rsidR="00CB081B">
        <w:rPr>
          <w:sz w:val="24"/>
        </w:rPr>
        <w:t xml:space="preserve"> enjoyed by the general public </w:t>
      </w:r>
      <w:r w:rsidR="007F7364" w:rsidRPr="001C6046">
        <w:rPr>
          <w:sz w:val="24"/>
        </w:rPr>
        <w:t>beyond enhanced amenities and landscaping that will be enjoyed by the future property owners within the real estate project</w:t>
      </w:r>
      <w:r w:rsidR="0015250B">
        <w:rPr>
          <w:sz w:val="24"/>
        </w:rPr>
        <w:t>.</w:t>
      </w:r>
    </w:p>
    <w:p w14:paraId="0FCEA74B" w14:textId="589CD69A" w:rsidR="0015250B" w:rsidRPr="00D52CC8" w:rsidRDefault="0015250B" w:rsidP="00D52CC8">
      <w:pPr>
        <w:jc w:val="both"/>
        <w:rPr>
          <w:sz w:val="24"/>
        </w:rPr>
      </w:pPr>
      <w:r w:rsidRPr="004932B9">
        <w:rPr>
          <w:sz w:val="24"/>
        </w:rPr>
        <w:t>The real estate project must also contain at least one of the following attributes:</w:t>
      </w:r>
    </w:p>
    <w:p w14:paraId="05F4A65E" w14:textId="55A19782" w:rsidR="00AE7D5A" w:rsidRPr="004932B9" w:rsidRDefault="00D52CC8" w:rsidP="004932B9">
      <w:pPr>
        <w:ind w:left="720"/>
        <w:jc w:val="both"/>
        <w:rPr>
          <w:sz w:val="24"/>
        </w:rPr>
      </w:pPr>
      <w:r>
        <w:rPr>
          <w:sz w:val="24"/>
        </w:rPr>
        <w:t>1</w:t>
      </w:r>
      <w:r w:rsidR="008A6310">
        <w:rPr>
          <w:sz w:val="24"/>
        </w:rPr>
        <w:t xml:space="preserve">. </w:t>
      </w:r>
      <w:r w:rsidR="008A6310">
        <w:rPr>
          <w:sz w:val="24"/>
        </w:rPr>
        <w:softHyphen/>
      </w:r>
      <w:r w:rsidR="008A6310">
        <w:rPr>
          <w:sz w:val="24"/>
        </w:rPr>
        <w:softHyphen/>
      </w:r>
      <w:r w:rsidR="00AE7D5A" w:rsidRPr="004932B9">
        <w:rPr>
          <w:sz w:val="24"/>
        </w:rPr>
        <w:t>Significant public infrastructure beyond improvements required through the development review process</w:t>
      </w:r>
      <w:r w:rsidR="0015250B" w:rsidRPr="004932B9">
        <w:rPr>
          <w:sz w:val="24"/>
        </w:rPr>
        <w:t>;</w:t>
      </w:r>
    </w:p>
    <w:p w14:paraId="159F0784" w14:textId="73343471" w:rsidR="0015250B" w:rsidRPr="001D05A0" w:rsidRDefault="00D52CC8" w:rsidP="001D05A0">
      <w:pPr>
        <w:ind w:firstLine="720"/>
        <w:jc w:val="both"/>
        <w:rPr>
          <w:sz w:val="24"/>
        </w:rPr>
      </w:pPr>
      <w:r>
        <w:rPr>
          <w:sz w:val="24"/>
        </w:rPr>
        <w:t>2</w:t>
      </w:r>
      <w:r w:rsidR="009328D6" w:rsidRPr="001D05A0">
        <w:rPr>
          <w:sz w:val="24"/>
        </w:rPr>
        <w:t>.</w:t>
      </w:r>
      <w:r w:rsidR="001D05A0">
        <w:rPr>
          <w:sz w:val="24"/>
        </w:rPr>
        <w:t xml:space="preserve"> </w:t>
      </w:r>
      <w:r w:rsidR="00AE7D5A" w:rsidRPr="001D05A0">
        <w:rPr>
          <w:sz w:val="24"/>
        </w:rPr>
        <w:t>Multi-use real estate project</w:t>
      </w:r>
      <w:r w:rsidR="0015250B" w:rsidRPr="001D05A0">
        <w:rPr>
          <w:sz w:val="24"/>
        </w:rPr>
        <w:t>; or</w:t>
      </w:r>
    </w:p>
    <w:p w14:paraId="10F0229B" w14:textId="65F6704B" w:rsidR="001C6046" w:rsidRPr="001D05A0" w:rsidRDefault="00D52CC8" w:rsidP="001D05A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9328D6" w:rsidRPr="001D05A0">
        <w:rPr>
          <w:sz w:val="24"/>
          <w:szCs w:val="24"/>
        </w:rPr>
        <w:t xml:space="preserve">. </w:t>
      </w:r>
      <w:r w:rsidR="001C6046" w:rsidRPr="001D05A0">
        <w:rPr>
          <w:sz w:val="24"/>
          <w:szCs w:val="24"/>
        </w:rPr>
        <w:t>Traditional neighborhood development</w:t>
      </w:r>
      <w:r w:rsidR="00D62CEB">
        <w:rPr>
          <w:sz w:val="24"/>
          <w:szCs w:val="24"/>
        </w:rPr>
        <w:t>.</w:t>
      </w:r>
    </w:p>
    <w:p w14:paraId="676C4B01" w14:textId="514A70DD" w:rsidR="007F7364" w:rsidRDefault="009A1E43" w:rsidP="004932B9">
      <w:pPr>
        <w:jc w:val="both"/>
        <w:rPr>
          <w:sz w:val="24"/>
        </w:rPr>
      </w:pPr>
      <w:r>
        <w:rPr>
          <w:sz w:val="24"/>
        </w:rPr>
        <w:t>A</w:t>
      </w:r>
      <w:r w:rsidR="007F7364" w:rsidRPr="001C6046">
        <w:rPr>
          <w:sz w:val="24"/>
        </w:rPr>
        <w:t xml:space="preserve">ny community development district approved by the Board will be </w:t>
      </w:r>
      <w:r w:rsidR="001C6046">
        <w:rPr>
          <w:sz w:val="24"/>
        </w:rPr>
        <w:t xml:space="preserve">required </w:t>
      </w:r>
      <w:r w:rsidR="007F7364" w:rsidRPr="001C6046">
        <w:rPr>
          <w:sz w:val="24"/>
        </w:rPr>
        <w:t xml:space="preserve">to record in the public </w:t>
      </w:r>
      <w:proofErr w:type="gramStart"/>
      <w:r w:rsidR="007F7364" w:rsidRPr="001C6046">
        <w:rPr>
          <w:sz w:val="24"/>
        </w:rPr>
        <w:t>records</w:t>
      </w:r>
      <w:proofErr w:type="gramEnd"/>
      <w:r w:rsidR="007F7364" w:rsidRPr="001C6046">
        <w:rPr>
          <w:sz w:val="24"/>
        </w:rPr>
        <w:t xml:space="preserve"> additional disclosure requirements</w:t>
      </w:r>
      <w:r w:rsidR="001C6046">
        <w:rPr>
          <w:sz w:val="24"/>
        </w:rPr>
        <w:t>, as approved by the County Attorney’s Office</w:t>
      </w:r>
      <w:r w:rsidR="0098621B">
        <w:rPr>
          <w:sz w:val="24"/>
        </w:rPr>
        <w:t>,</w:t>
      </w:r>
      <w:r w:rsidR="007F7364" w:rsidRPr="001C6046">
        <w:rPr>
          <w:sz w:val="24"/>
        </w:rPr>
        <w:t xml:space="preserve"> providing </w:t>
      </w:r>
      <w:r w:rsidR="009D5BD3">
        <w:rPr>
          <w:sz w:val="24"/>
        </w:rPr>
        <w:t xml:space="preserve">additional </w:t>
      </w:r>
      <w:r w:rsidR="007F7364" w:rsidRPr="001C6046">
        <w:rPr>
          <w:sz w:val="24"/>
        </w:rPr>
        <w:t>notice to future buyers of the existence of the community development district</w:t>
      </w:r>
      <w:r w:rsidR="009D5BD3">
        <w:rPr>
          <w:sz w:val="24"/>
        </w:rPr>
        <w:t>.</w:t>
      </w:r>
      <w:r w:rsidR="007F7364" w:rsidRPr="001C6046">
        <w:rPr>
          <w:sz w:val="24"/>
        </w:rPr>
        <w:t xml:space="preserve"> </w:t>
      </w:r>
    </w:p>
    <w:p w14:paraId="5955B4FF" w14:textId="2C1AA64A" w:rsidR="00260C85" w:rsidRPr="001C6046" w:rsidRDefault="00260C85" w:rsidP="004932B9">
      <w:pPr>
        <w:jc w:val="both"/>
        <w:rPr>
          <w:sz w:val="24"/>
        </w:rPr>
      </w:pPr>
      <w:r>
        <w:rPr>
          <w:sz w:val="24"/>
        </w:rPr>
        <w:t xml:space="preserve">Any community development district application shall be accompanied by a $15,000 application </w:t>
      </w:r>
      <w:bookmarkStart w:id="0" w:name="_GoBack"/>
      <w:bookmarkEnd w:id="0"/>
      <w:r>
        <w:rPr>
          <w:sz w:val="24"/>
        </w:rPr>
        <w:t xml:space="preserve">fee. </w:t>
      </w:r>
    </w:p>
    <w:sectPr w:rsidR="00260C85" w:rsidRPr="001C6046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97E75" w14:textId="77777777" w:rsidR="00A62BE8" w:rsidRDefault="00A62BE8" w:rsidP="00DE1C9A">
      <w:pPr>
        <w:spacing w:after="0" w:line="240" w:lineRule="auto"/>
      </w:pPr>
      <w:r>
        <w:separator/>
      </w:r>
    </w:p>
  </w:endnote>
  <w:endnote w:type="continuationSeparator" w:id="0">
    <w:p w14:paraId="41600C3A" w14:textId="77777777" w:rsidR="00A62BE8" w:rsidRDefault="00A62BE8" w:rsidP="00DE1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39E71" w14:textId="77777777" w:rsidR="00DE1C9A" w:rsidRDefault="00DE1C9A" w:rsidP="00467F4D">
    <w:pPr>
      <w:pStyle w:val="MacPacTrailer"/>
    </w:pPr>
    <w:bookmarkStart w:id="1" w:name="_zzmpTrailer_1078_1"/>
    <w:r w:rsidRPr="00DE1C9A">
      <w:rPr>
        <w:rStyle w:val="zzmpTrailerItem"/>
      </w:rPr>
      <w:t>4894-0725-5326.1</w:t>
    </w:r>
    <w:r w:rsidRPr="00DE1C9A">
      <w:t xml:space="preserve"> </w:t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16B71" w14:textId="77777777" w:rsidR="00DE1C9A" w:rsidRDefault="00DE1C9A" w:rsidP="000270AF">
    <w:pPr>
      <w:pStyle w:val="MacPacTrailer"/>
    </w:pPr>
    <w:bookmarkStart w:id="2" w:name="_zzmpTrailer_1078_2"/>
    <w:r w:rsidRPr="00DE1C9A">
      <w:rPr>
        <w:rStyle w:val="zzmpTrailerItem"/>
      </w:rPr>
      <w:t>4894-0725-5326.1</w:t>
    </w:r>
    <w:r w:rsidRPr="00DE1C9A">
      <w:t xml:space="preserve"> 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417CD" w14:textId="77777777" w:rsidR="00A62BE8" w:rsidRDefault="00A62BE8" w:rsidP="00DE1C9A">
      <w:pPr>
        <w:spacing w:after="0" w:line="240" w:lineRule="auto"/>
      </w:pPr>
      <w:r>
        <w:separator/>
      </w:r>
    </w:p>
  </w:footnote>
  <w:footnote w:type="continuationSeparator" w:id="0">
    <w:p w14:paraId="5DCD24C6" w14:textId="77777777" w:rsidR="00A62BE8" w:rsidRDefault="00A62BE8" w:rsidP="00DE1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C1BD4"/>
    <w:multiLevelType w:val="hybridMultilevel"/>
    <w:tmpl w:val="1BB670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85FE4"/>
    <w:multiLevelType w:val="hybridMultilevel"/>
    <w:tmpl w:val="8C82E04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B3361"/>
    <w:multiLevelType w:val="hybridMultilevel"/>
    <w:tmpl w:val="143EE3BC"/>
    <w:lvl w:ilvl="0" w:tplc="EC76E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0"/>
    <w:docVar w:name="ForteTempFile" w:val="C:\Users\omaeed1\AppData\Local\Temp\1\bfd44417-3bdc-4118-9fd5-36ca3f279f02.docx"/>
    <w:docVar w:name="MPDocID" w:val="C:\Users\TALJTJ1\AppData\Local\Microsoft\Windows\INetCache\Content.Outlook\WUAE0K5L\CDD Guidelines (003) rbs.docx"/>
    <w:docVar w:name="NewDocStampType" w:val="1"/>
    <w:docVar w:name="zzmp10LastTrailerInserted" w:val="^`~#mp!@⌛`S#O┝┬::@śmS⌓Ë8⌝N×Ypã⌏[µbFÌ⌠°⌓*!⌑+B⌕¯⌏¨3¬|Pe@‛tù­±⌍‟⌝‡ãå×R6ûj‧Õˤ:Ù&amp;⌏j¸íÏK(ŧ⌒‛‡.⌘JRKR7\X⁂&quot;ùô:y⌟ÅƅF⌡µE%BíF&gt;^Z8Âä‭e¾¾ï©RßúåÎ¿=ÁÌQøÇ\Á⌠çÃ&gt;gÈpS¤Ŝæ8hÇR²hw`⌜¹*ì°℩ºÙ?²+⌜Iþm¨&gt;ò=*⌚S ⌔V­ÍSÆ⌉e³NC4S&lt;8&lt;011"/>
    <w:docVar w:name="zzmp10LastTrailerInserted_1078" w:val="^`~#mp!@⌛`S#O┝┬::@śmS⌓Ë8⌝N×Ypã⌏[µbFÌ⌠°⌓*!⌑+B⌕¯⌏¨3¬|Pe@‛tù­±⌍‟⌝‡ãå×R6ûj‧Õˤ:Ù&amp;⌏j¸íÏK(ŧ⌒‛‡.⌘JRKR7\X⁂&quot;ùô:y⌟ÅƅF⌡µE%BíF&gt;^Z8Âä‭e¾¾ï©RßúåÎ¿=ÁÌQøÇ\Á⌠çÃ&gt;gÈpS¤Ŝæ8hÇR²hw`⌜¹*ì°℩ºÙ?²+⌜Iþm¨&gt;ò=*⌚S ⌔V­ÍSÆ⌉e³NC4S&lt;8&lt;011"/>
    <w:docVar w:name="zzmp10mSEGsValidated" w:val="1"/>
    <w:docVar w:name="zzmpCompatibilityMode" w:val="15"/>
  </w:docVars>
  <w:rsids>
    <w:rsidRoot w:val="00940F59"/>
    <w:rsid w:val="001170A7"/>
    <w:rsid w:val="00136B09"/>
    <w:rsid w:val="00145BA7"/>
    <w:rsid w:val="0015250B"/>
    <w:rsid w:val="001A1414"/>
    <w:rsid w:val="001C6046"/>
    <w:rsid w:val="001D05A0"/>
    <w:rsid w:val="00201981"/>
    <w:rsid w:val="00244E7E"/>
    <w:rsid w:val="00260C85"/>
    <w:rsid w:val="002B0CD4"/>
    <w:rsid w:val="003E4A1E"/>
    <w:rsid w:val="004932B9"/>
    <w:rsid w:val="00540D3F"/>
    <w:rsid w:val="005B52DE"/>
    <w:rsid w:val="0066509D"/>
    <w:rsid w:val="00763F05"/>
    <w:rsid w:val="007F7364"/>
    <w:rsid w:val="00864F8C"/>
    <w:rsid w:val="008A6310"/>
    <w:rsid w:val="00900A37"/>
    <w:rsid w:val="00916E84"/>
    <w:rsid w:val="00930E05"/>
    <w:rsid w:val="009328D6"/>
    <w:rsid w:val="00940F59"/>
    <w:rsid w:val="0098621B"/>
    <w:rsid w:val="009A1E43"/>
    <w:rsid w:val="009B3CC4"/>
    <w:rsid w:val="009D5BD3"/>
    <w:rsid w:val="00A62BE8"/>
    <w:rsid w:val="00AD5F43"/>
    <w:rsid w:val="00AE7D5A"/>
    <w:rsid w:val="00B77E71"/>
    <w:rsid w:val="00C97A0D"/>
    <w:rsid w:val="00CB081B"/>
    <w:rsid w:val="00D52CC8"/>
    <w:rsid w:val="00D62CEB"/>
    <w:rsid w:val="00DA4CA1"/>
    <w:rsid w:val="00DE1C9A"/>
    <w:rsid w:val="00E33078"/>
    <w:rsid w:val="00F6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CA317FC"/>
  <w15:chartTrackingRefBased/>
  <w15:docId w15:val="{26C92DA7-6ACD-4484-AF14-A07B92D1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3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B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1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C9A"/>
  </w:style>
  <w:style w:type="paragraph" w:styleId="Footer">
    <w:name w:val="footer"/>
    <w:basedOn w:val="Normal"/>
    <w:link w:val="FooterChar"/>
    <w:unhideWhenUsed/>
    <w:rsid w:val="00DE1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E1C9A"/>
  </w:style>
  <w:style w:type="paragraph" w:customStyle="1" w:styleId="MacPacTrailer">
    <w:name w:val="MacPac Trailer"/>
    <w:rsid w:val="00DE1C9A"/>
    <w:pPr>
      <w:widowControl w:val="0"/>
      <w:spacing w:after="0" w:line="200" w:lineRule="exact"/>
    </w:pPr>
    <w:rPr>
      <w:rFonts w:ascii="Times New Roman" w:eastAsia="Times New Roman" w:hAnsi="Times New Roman" w:cs="Times New Roman"/>
      <w:sz w:val="16"/>
    </w:rPr>
  </w:style>
  <w:style w:type="character" w:styleId="PlaceholderText">
    <w:name w:val="Placeholder Text"/>
    <w:basedOn w:val="DefaultParagraphFont"/>
    <w:uiPriority w:val="99"/>
    <w:semiHidden/>
    <w:rsid w:val="00DE1C9A"/>
    <w:rPr>
      <w:color w:val="808080"/>
    </w:rPr>
  </w:style>
  <w:style w:type="character" w:customStyle="1" w:styleId="zzmpTrailerItem">
    <w:name w:val="zzmpTrailerItem"/>
    <w:basedOn w:val="DefaultParagraphFont"/>
    <w:rsid w:val="00DE1C9A"/>
    <w:rPr>
      <w:rFonts w:ascii="Times New Roman" w:hAnsi="Times New Roman" w:cs="Times New Roman"/>
      <w:b w:val="0"/>
      <w:i w:val="0"/>
      <w:caps w:val="0"/>
      <w:smallCaps w:val="0"/>
      <w:dstrike w:val="0"/>
      <w:shadow w:val="0"/>
      <w:emboss w:val="0"/>
      <w:imprint w:val="0"/>
      <w:noProof/>
      <w:vanish w:val="0"/>
      <w:spacing w:val="0"/>
      <w:position w:val="0"/>
      <w:sz w:val="16"/>
      <w:u w:val="none"/>
      <w:effect w:val="none"/>
      <w:vertAlign w:val="baseline"/>
    </w:rPr>
  </w:style>
  <w:style w:type="paragraph" w:styleId="Revision">
    <w:name w:val="Revision"/>
    <w:hidden/>
    <w:uiPriority w:val="99"/>
    <w:semiHidden/>
    <w:rsid w:val="00AD5F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2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IRCGOV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Reingold</dc:creator>
  <cp:keywords/>
  <dc:description/>
  <cp:lastModifiedBy>Dylan Reingold</cp:lastModifiedBy>
  <cp:revision>6</cp:revision>
  <dcterms:created xsi:type="dcterms:W3CDTF">2022-05-24T12:58:00Z</dcterms:created>
  <dcterms:modified xsi:type="dcterms:W3CDTF">2022-06-07T17:30:00Z</dcterms:modified>
</cp:coreProperties>
</file>